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FED" w:rsidRPr="00937BFC" w:rsidRDefault="00D63FED" w:rsidP="00D63FED">
      <w:pPr>
        <w:jc w:val="center"/>
        <w:rPr>
          <w:b/>
          <w:caps/>
          <w:szCs w:val="24"/>
        </w:rPr>
      </w:pPr>
      <w:r w:rsidRPr="00937BFC">
        <w:rPr>
          <w:b/>
          <w:szCs w:val="24"/>
        </w:rPr>
        <w:t xml:space="preserve">CIRCOLAZIONE DI TRASPORTI E VEICOLI IN CONDIZIONI DI </w:t>
      </w:r>
      <w:r w:rsidRPr="00937BFC">
        <w:rPr>
          <w:b/>
          <w:caps/>
          <w:szCs w:val="24"/>
        </w:rPr>
        <w:t>eccezionalità</w:t>
      </w:r>
    </w:p>
    <w:p w:rsidR="00D63FED" w:rsidRPr="00937BFC" w:rsidRDefault="00D63FED" w:rsidP="00D63FED">
      <w:pPr>
        <w:jc w:val="center"/>
        <w:rPr>
          <w:b/>
          <w:caps/>
          <w:szCs w:val="24"/>
        </w:rPr>
      </w:pPr>
      <w:r w:rsidRPr="00937BFC">
        <w:rPr>
          <w:b/>
          <w:caps/>
          <w:szCs w:val="24"/>
        </w:rPr>
        <w:t>art. 42</w:t>
      </w:r>
      <w:r>
        <w:rPr>
          <w:b/>
          <w:caps/>
          <w:szCs w:val="24"/>
        </w:rPr>
        <w:t xml:space="preserve">, comma 6 </w:t>
      </w:r>
      <w:r w:rsidRPr="00DE2A43">
        <w:rPr>
          <w:b/>
          <w:i/>
          <w:szCs w:val="24"/>
        </w:rPr>
        <w:t>bis</w:t>
      </w:r>
      <w:r>
        <w:rPr>
          <w:b/>
          <w:szCs w:val="24"/>
        </w:rPr>
        <w:t>,</w:t>
      </w:r>
      <w:r w:rsidRPr="00937BFC">
        <w:rPr>
          <w:b/>
          <w:caps/>
          <w:szCs w:val="24"/>
        </w:rPr>
        <w:t xml:space="preserve"> della l.r. 4 aprile 2012, n. 6</w:t>
      </w:r>
    </w:p>
    <w:p w:rsidR="00D63FED" w:rsidRPr="00960ED5" w:rsidRDefault="00D63FED" w:rsidP="00D63FED">
      <w:pPr>
        <w:rPr>
          <w:sz w:val="20"/>
          <w:szCs w:val="20"/>
        </w:rPr>
      </w:pPr>
    </w:p>
    <w:p w:rsidR="00D63FED" w:rsidRPr="00960ED5" w:rsidRDefault="00D63FED" w:rsidP="00D63FED">
      <w:pPr>
        <w:jc w:val="both"/>
        <w:rPr>
          <w:sz w:val="20"/>
          <w:szCs w:val="20"/>
        </w:rPr>
      </w:pPr>
      <w:r w:rsidRPr="00960ED5">
        <w:rPr>
          <w:sz w:val="20"/>
          <w:szCs w:val="20"/>
        </w:rPr>
        <w:t xml:space="preserve">Nel territorio di </w:t>
      </w:r>
      <w:r>
        <w:rPr>
          <w:sz w:val="20"/>
          <w:szCs w:val="20"/>
        </w:rPr>
        <w:t>Credera Rubbiano</w:t>
      </w:r>
      <w:r w:rsidRPr="00960ED5">
        <w:rPr>
          <w:sz w:val="20"/>
          <w:szCs w:val="20"/>
        </w:rPr>
        <w:t>, per quanto riguarda le seguenti tipologie di trasporti e veicoli eccezionali identificate ai sensi della D.G.R. X/7859 del 12.02.2018, è consentito il transito sulle strade di competenza comunale come da allegato elenco</w:t>
      </w:r>
    </w:p>
    <w:p w:rsidR="00D63FED" w:rsidRDefault="00D63FED" w:rsidP="00D63FED">
      <w:pPr>
        <w:rPr>
          <w:szCs w:val="24"/>
        </w:rPr>
      </w:pPr>
    </w:p>
    <w:tbl>
      <w:tblPr>
        <w:tblW w:w="15843" w:type="dxa"/>
        <w:tblBorders>
          <w:top w:val="single" w:sz="8" w:space="0" w:color="5B9BD5"/>
          <w:bottom w:val="single" w:sz="8" w:space="0" w:color="5B9BD5"/>
        </w:tblBorders>
        <w:tblLook w:val="04A0" w:firstRow="1" w:lastRow="0" w:firstColumn="1" w:lastColumn="0" w:noHBand="0" w:noVBand="1"/>
      </w:tblPr>
      <w:tblGrid>
        <w:gridCol w:w="390"/>
        <w:gridCol w:w="2695"/>
        <w:gridCol w:w="9072"/>
        <w:gridCol w:w="3686"/>
      </w:tblGrid>
      <w:tr w:rsidR="00D63FED" w:rsidRPr="00817DAF" w:rsidTr="003A359A">
        <w:tc>
          <w:tcPr>
            <w:tcW w:w="0" w:type="auto"/>
            <w:tcBorders>
              <w:top w:val="single" w:sz="8" w:space="0" w:color="5B9BD5"/>
              <w:bottom w:val="single" w:sz="8" w:space="0" w:color="5B9BD5"/>
            </w:tcBorders>
            <w:shd w:val="clear" w:color="auto" w:fill="auto"/>
            <w:vAlign w:val="center"/>
          </w:tcPr>
          <w:p w:rsidR="00D63FED" w:rsidRPr="00817DAF" w:rsidRDefault="00D63FED" w:rsidP="003A359A">
            <w:pPr>
              <w:jc w:val="center"/>
              <w:rPr>
                <w:b/>
                <w:bCs/>
                <w:sz w:val="20"/>
                <w:szCs w:val="20"/>
              </w:rPr>
            </w:pPr>
          </w:p>
        </w:tc>
        <w:tc>
          <w:tcPr>
            <w:tcW w:w="2695" w:type="dxa"/>
            <w:tcBorders>
              <w:top w:val="single" w:sz="8" w:space="0" w:color="5B9BD5"/>
              <w:bottom w:val="single" w:sz="8" w:space="0" w:color="5B9BD5"/>
            </w:tcBorders>
            <w:shd w:val="clear" w:color="auto" w:fill="auto"/>
            <w:vAlign w:val="center"/>
          </w:tcPr>
          <w:p w:rsidR="00D63FED" w:rsidRPr="00817DAF" w:rsidRDefault="00D63FED" w:rsidP="003A359A">
            <w:pPr>
              <w:jc w:val="center"/>
              <w:rPr>
                <w:b/>
                <w:bCs/>
                <w:sz w:val="20"/>
                <w:szCs w:val="20"/>
              </w:rPr>
            </w:pPr>
            <w:r w:rsidRPr="00817DAF">
              <w:rPr>
                <w:b/>
                <w:bCs/>
                <w:sz w:val="20"/>
                <w:szCs w:val="20"/>
              </w:rPr>
              <w:t>MASSA – TIPOLOGIA</w:t>
            </w:r>
          </w:p>
        </w:tc>
        <w:tc>
          <w:tcPr>
            <w:tcW w:w="9072" w:type="dxa"/>
            <w:tcBorders>
              <w:top w:val="single" w:sz="8" w:space="0" w:color="5B9BD5"/>
              <w:bottom w:val="single" w:sz="8" w:space="0" w:color="5B9BD5"/>
            </w:tcBorders>
            <w:shd w:val="clear" w:color="auto" w:fill="auto"/>
            <w:vAlign w:val="center"/>
          </w:tcPr>
          <w:p w:rsidR="00D63FED" w:rsidRPr="00817DAF" w:rsidRDefault="00D63FED" w:rsidP="003A359A">
            <w:pPr>
              <w:jc w:val="center"/>
              <w:rPr>
                <w:b/>
                <w:bCs/>
                <w:sz w:val="20"/>
                <w:szCs w:val="20"/>
              </w:rPr>
            </w:pPr>
            <w:r w:rsidRPr="00817DAF">
              <w:rPr>
                <w:b/>
                <w:bCs/>
                <w:sz w:val="20"/>
                <w:szCs w:val="20"/>
              </w:rPr>
              <w:t>DESCRIZIONE</w:t>
            </w:r>
          </w:p>
        </w:tc>
        <w:tc>
          <w:tcPr>
            <w:tcW w:w="3686" w:type="dxa"/>
            <w:tcBorders>
              <w:top w:val="single" w:sz="8" w:space="0" w:color="5B9BD5"/>
              <w:bottom w:val="single" w:sz="8" w:space="0" w:color="5B9BD5"/>
            </w:tcBorders>
            <w:shd w:val="clear" w:color="auto" w:fill="auto"/>
            <w:vAlign w:val="center"/>
          </w:tcPr>
          <w:p w:rsidR="00D63FED" w:rsidRPr="00817DAF" w:rsidRDefault="00D63FED" w:rsidP="003A359A">
            <w:pPr>
              <w:jc w:val="center"/>
              <w:rPr>
                <w:b/>
                <w:bCs/>
                <w:sz w:val="20"/>
                <w:szCs w:val="20"/>
              </w:rPr>
            </w:pPr>
            <w:r w:rsidRPr="00817DAF">
              <w:rPr>
                <w:b/>
                <w:bCs/>
                <w:sz w:val="20"/>
                <w:szCs w:val="20"/>
              </w:rPr>
              <w:t>STRADE COMUNALI PERCORRIBILI</w:t>
            </w:r>
          </w:p>
        </w:tc>
      </w:tr>
      <w:tr w:rsidR="00D63FED" w:rsidRPr="00817DAF" w:rsidTr="003A359A">
        <w:tc>
          <w:tcPr>
            <w:tcW w:w="0" w:type="auto"/>
            <w:shd w:val="clear" w:color="auto" w:fill="D6E6F4"/>
            <w:vAlign w:val="center"/>
          </w:tcPr>
          <w:p w:rsidR="00D63FED" w:rsidRPr="00817DAF" w:rsidRDefault="00D63FED" w:rsidP="003A359A">
            <w:pPr>
              <w:jc w:val="center"/>
              <w:rPr>
                <w:b/>
                <w:bCs/>
                <w:sz w:val="20"/>
                <w:szCs w:val="20"/>
              </w:rPr>
            </w:pPr>
            <w:r w:rsidRPr="00817DAF">
              <w:rPr>
                <w:b/>
                <w:bCs/>
                <w:sz w:val="20"/>
                <w:szCs w:val="20"/>
              </w:rPr>
              <w:t>A</w:t>
            </w:r>
          </w:p>
        </w:tc>
        <w:tc>
          <w:tcPr>
            <w:tcW w:w="2695" w:type="dxa"/>
            <w:tcBorders>
              <w:left w:val="nil"/>
              <w:right w:val="nil"/>
            </w:tcBorders>
            <w:shd w:val="clear" w:color="auto" w:fill="D6E6F4"/>
            <w:vAlign w:val="center"/>
          </w:tcPr>
          <w:p w:rsidR="00D63FED" w:rsidRPr="00817DAF" w:rsidRDefault="00D63FED" w:rsidP="003A359A">
            <w:pPr>
              <w:jc w:val="center"/>
              <w:rPr>
                <w:sz w:val="20"/>
                <w:szCs w:val="20"/>
              </w:rPr>
            </w:pPr>
            <w:r w:rsidRPr="00817DAF">
              <w:rPr>
                <w:sz w:val="20"/>
                <w:szCs w:val="20"/>
              </w:rPr>
              <w:t>33 ton.</w:t>
            </w:r>
          </w:p>
        </w:tc>
        <w:tc>
          <w:tcPr>
            <w:tcW w:w="9072" w:type="dxa"/>
            <w:shd w:val="clear" w:color="auto" w:fill="D6E6F4"/>
            <w:vAlign w:val="center"/>
          </w:tcPr>
          <w:p w:rsidR="00D63FED" w:rsidRPr="00817DAF" w:rsidRDefault="00D63FED" w:rsidP="003A359A">
            <w:pPr>
              <w:jc w:val="both"/>
              <w:rPr>
                <w:sz w:val="20"/>
                <w:szCs w:val="20"/>
              </w:rPr>
            </w:pPr>
            <w:r w:rsidRPr="00817DAF">
              <w:rPr>
                <w:sz w:val="20"/>
                <w:szCs w:val="20"/>
              </w:rPr>
              <w:t>Mezzi d’opera e veicoli ad uso speciale di massa complessiva fino a 33 tonnellate</w:t>
            </w:r>
          </w:p>
        </w:tc>
        <w:tc>
          <w:tcPr>
            <w:tcW w:w="3686" w:type="dxa"/>
            <w:tcBorders>
              <w:left w:val="nil"/>
              <w:right w:val="nil"/>
            </w:tcBorders>
            <w:shd w:val="clear" w:color="auto" w:fill="D6E6F4"/>
            <w:vAlign w:val="center"/>
          </w:tcPr>
          <w:p w:rsidR="00D63FED" w:rsidRPr="00817DAF" w:rsidRDefault="006C7B8A" w:rsidP="00D63FED">
            <w:pPr>
              <w:jc w:val="center"/>
              <w:rPr>
                <w:sz w:val="20"/>
                <w:szCs w:val="20"/>
              </w:rPr>
            </w:pPr>
            <w:r>
              <w:rPr>
                <w:sz w:val="20"/>
                <w:szCs w:val="20"/>
              </w:rPr>
              <w:t>Via</w:t>
            </w:r>
            <w:r w:rsidR="00D63FED" w:rsidRPr="00817DAF">
              <w:rPr>
                <w:sz w:val="20"/>
                <w:szCs w:val="20"/>
              </w:rPr>
              <w:t xml:space="preserve"> Ca</w:t>
            </w:r>
            <w:r w:rsidR="00D63FED">
              <w:rPr>
                <w:sz w:val="20"/>
                <w:szCs w:val="20"/>
              </w:rPr>
              <w:t xml:space="preserve">scinotti, </w:t>
            </w:r>
            <w:r>
              <w:rPr>
                <w:sz w:val="20"/>
                <w:szCs w:val="20"/>
              </w:rPr>
              <w:t>Via</w:t>
            </w:r>
            <w:r w:rsidR="00D63FED">
              <w:rPr>
                <w:sz w:val="20"/>
                <w:szCs w:val="20"/>
              </w:rPr>
              <w:t xml:space="preserve"> Matte</w:t>
            </w:r>
            <w:r w:rsidR="00D63FED" w:rsidRPr="00817DAF">
              <w:rPr>
                <w:sz w:val="20"/>
                <w:szCs w:val="20"/>
              </w:rPr>
              <w:t>i</w:t>
            </w:r>
          </w:p>
        </w:tc>
      </w:tr>
      <w:tr w:rsidR="00D63FED" w:rsidRPr="00817DAF" w:rsidTr="003A359A">
        <w:tc>
          <w:tcPr>
            <w:tcW w:w="0" w:type="auto"/>
            <w:shd w:val="clear" w:color="auto" w:fill="auto"/>
            <w:vAlign w:val="center"/>
          </w:tcPr>
          <w:p w:rsidR="00D63FED" w:rsidRPr="00817DAF" w:rsidRDefault="00D63FED" w:rsidP="003A359A">
            <w:pPr>
              <w:jc w:val="center"/>
              <w:rPr>
                <w:b/>
                <w:bCs/>
                <w:sz w:val="20"/>
                <w:szCs w:val="20"/>
              </w:rPr>
            </w:pPr>
            <w:r w:rsidRPr="00817DAF">
              <w:rPr>
                <w:b/>
                <w:bCs/>
                <w:sz w:val="20"/>
                <w:szCs w:val="20"/>
              </w:rPr>
              <w:t>B</w:t>
            </w:r>
          </w:p>
        </w:tc>
        <w:tc>
          <w:tcPr>
            <w:tcW w:w="2695" w:type="dxa"/>
            <w:shd w:val="clear" w:color="auto" w:fill="auto"/>
            <w:vAlign w:val="center"/>
          </w:tcPr>
          <w:p w:rsidR="00D63FED" w:rsidRPr="00817DAF" w:rsidRDefault="00D63FED" w:rsidP="003A359A">
            <w:pPr>
              <w:jc w:val="center"/>
              <w:rPr>
                <w:sz w:val="20"/>
                <w:szCs w:val="20"/>
              </w:rPr>
            </w:pPr>
            <w:r w:rsidRPr="00817DAF">
              <w:rPr>
                <w:sz w:val="20"/>
                <w:szCs w:val="20"/>
              </w:rPr>
              <w:t>40 ton.</w:t>
            </w:r>
          </w:p>
        </w:tc>
        <w:tc>
          <w:tcPr>
            <w:tcW w:w="9072" w:type="dxa"/>
            <w:shd w:val="clear" w:color="auto" w:fill="auto"/>
            <w:vAlign w:val="center"/>
          </w:tcPr>
          <w:p w:rsidR="00D63FED" w:rsidRPr="00817DAF" w:rsidRDefault="00D63FED" w:rsidP="003A359A">
            <w:pPr>
              <w:jc w:val="both"/>
              <w:rPr>
                <w:sz w:val="20"/>
                <w:szCs w:val="20"/>
              </w:rPr>
            </w:pPr>
            <w:r w:rsidRPr="00817DAF">
              <w:rPr>
                <w:sz w:val="20"/>
                <w:szCs w:val="20"/>
              </w:rPr>
              <w:t>Mezzi d’opera e veicoli ad uso speciale di massa complessiva fino a 40 tonnellate</w:t>
            </w:r>
          </w:p>
        </w:tc>
        <w:tc>
          <w:tcPr>
            <w:tcW w:w="3686" w:type="dxa"/>
            <w:shd w:val="clear" w:color="auto" w:fill="auto"/>
            <w:vAlign w:val="center"/>
          </w:tcPr>
          <w:p w:rsidR="00D63FED" w:rsidRPr="00817DAF" w:rsidRDefault="006C7B8A" w:rsidP="003A359A">
            <w:pPr>
              <w:jc w:val="center"/>
              <w:rPr>
                <w:sz w:val="20"/>
                <w:szCs w:val="20"/>
              </w:rPr>
            </w:pPr>
            <w:r>
              <w:rPr>
                <w:sz w:val="20"/>
                <w:szCs w:val="20"/>
              </w:rPr>
              <w:t>Via</w:t>
            </w:r>
            <w:r w:rsidR="00D63FED" w:rsidRPr="00817DAF">
              <w:rPr>
                <w:sz w:val="20"/>
                <w:szCs w:val="20"/>
              </w:rPr>
              <w:t xml:space="preserve"> Ca</w:t>
            </w:r>
            <w:r w:rsidR="00D63FED">
              <w:rPr>
                <w:sz w:val="20"/>
                <w:szCs w:val="20"/>
              </w:rPr>
              <w:t xml:space="preserve">scinotti, </w:t>
            </w:r>
            <w:r>
              <w:rPr>
                <w:sz w:val="20"/>
                <w:szCs w:val="20"/>
              </w:rPr>
              <w:t>Via</w:t>
            </w:r>
            <w:r w:rsidR="00D63FED">
              <w:rPr>
                <w:sz w:val="20"/>
                <w:szCs w:val="20"/>
              </w:rPr>
              <w:t xml:space="preserve"> Matte</w:t>
            </w:r>
            <w:r w:rsidR="00D63FED" w:rsidRPr="00817DAF">
              <w:rPr>
                <w:sz w:val="20"/>
                <w:szCs w:val="20"/>
              </w:rPr>
              <w:t>i</w:t>
            </w:r>
          </w:p>
        </w:tc>
      </w:tr>
      <w:tr w:rsidR="00D63FED" w:rsidRPr="00817DAF" w:rsidTr="003A359A">
        <w:tc>
          <w:tcPr>
            <w:tcW w:w="0" w:type="auto"/>
            <w:shd w:val="clear" w:color="auto" w:fill="D6E6F4"/>
            <w:vAlign w:val="center"/>
          </w:tcPr>
          <w:p w:rsidR="00D63FED" w:rsidRPr="00817DAF" w:rsidRDefault="00D63FED" w:rsidP="003A359A">
            <w:pPr>
              <w:jc w:val="center"/>
              <w:rPr>
                <w:b/>
                <w:bCs/>
                <w:sz w:val="20"/>
                <w:szCs w:val="20"/>
              </w:rPr>
            </w:pPr>
            <w:r w:rsidRPr="00817DAF">
              <w:rPr>
                <w:b/>
                <w:bCs/>
                <w:sz w:val="20"/>
                <w:szCs w:val="20"/>
              </w:rPr>
              <w:t>C</w:t>
            </w:r>
          </w:p>
        </w:tc>
        <w:tc>
          <w:tcPr>
            <w:tcW w:w="2695" w:type="dxa"/>
            <w:tcBorders>
              <w:left w:val="nil"/>
              <w:right w:val="nil"/>
            </w:tcBorders>
            <w:shd w:val="clear" w:color="auto" w:fill="D6E6F4"/>
            <w:vAlign w:val="center"/>
          </w:tcPr>
          <w:p w:rsidR="00D63FED" w:rsidRPr="00817DAF" w:rsidRDefault="00D63FED" w:rsidP="003A359A">
            <w:pPr>
              <w:jc w:val="center"/>
              <w:rPr>
                <w:sz w:val="20"/>
                <w:szCs w:val="20"/>
              </w:rPr>
            </w:pPr>
            <w:r w:rsidRPr="00817DAF">
              <w:rPr>
                <w:sz w:val="20"/>
                <w:szCs w:val="20"/>
              </w:rPr>
              <w:t>56 ton.</w:t>
            </w:r>
          </w:p>
        </w:tc>
        <w:tc>
          <w:tcPr>
            <w:tcW w:w="9072" w:type="dxa"/>
            <w:shd w:val="clear" w:color="auto" w:fill="D6E6F4"/>
            <w:vAlign w:val="center"/>
          </w:tcPr>
          <w:p w:rsidR="00D63FED" w:rsidRPr="00817DAF" w:rsidRDefault="00D63FED" w:rsidP="003A359A">
            <w:pPr>
              <w:jc w:val="both"/>
              <w:rPr>
                <w:sz w:val="20"/>
                <w:szCs w:val="20"/>
              </w:rPr>
            </w:pPr>
            <w:r w:rsidRPr="00817DAF">
              <w:rPr>
                <w:sz w:val="20"/>
                <w:szCs w:val="20"/>
              </w:rPr>
              <w:t>Mezzi d’opera, macchine operatrici eccezionali, complessi veicolari per il trasporto di macchine operatrici e veicoli ad uso speciale, di massa complessiva fino a 56 tonnellate</w:t>
            </w:r>
          </w:p>
        </w:tc>
        <w:tc>
          <w:tcPr>
            <w:tcW w:w="3686" w:type="dxa"/>
            <w:tcBorders>
              <w:left w:val="nil"/>
              <w:right w:val="nil"/>
            </w:tcBorders>
            <w:shd w:val="clear" w:color="auto" w:fill="D6E6F4"/>
            <w:vAlign w:val="center"/>
          </w:tcPr>
          <w:p w:rsidR="00D63FED" w:rsidRPr="00817DAF" w:rsidRDefault="006C7B8A" w:rsidP="003A359A">
            <w:pPr>
              <w:jc w:val="center"/>
              <w:rPr>
                <w:sz w:val="20"/>
                <w:szCs w:val="20"/>
              </w:rPr>
            </w:pPr>
            <w:r>
              <w:rPr>
                <w:sz w:val="20"/>
                <w:szCs w:val="20"/>
              </w:rPr>
              <w:t>Via</w:t>
            </w:r>
            <w:r w:rsidR="00D63FED" w:rsidRPr="00817DAF">
              <w:rPr>
                <w:sz w:val="20"/>
                <w:szCs w:val="20"/>
              </w:rPr>
              <w:t xml:space="preserve"> Ca</w:t>
            </w:r>
            <w:r w:rsidR="00D63FED">
              <w:rPr>
                <w:sz w:val="20"/>
                <w:szCs w:val="20"/>
              </w:rPr>
              <w:t xml:space="preserve">scinotti, </w:t>
            </w:r>
            <w:r>
              <w:rPr>
                <w:sz w:val="20"/>
                <w:szCs w:val="20"/>
              </w:rPr>
              <w:t>Via</w:t>
            </w:r>
            <w:r w:rsidR="00D63FED">
              <w:rPr>
                <w:sz w:val="20"/>
                <w:szCs w:val="20"/>
              </w:rPr>
              <w:t xml:space="preserve"> Matte</w:t>
            </w:r>
            <w:r w:rsidR="00D63FED" w:rsidRPr="00817DAF">
              <w:rPr>
                <w:sz w:val="20"/>
                <w:szCs w:val="20"/>
              </w:rPr>
              <w:t>i</w:t>
            </w:r>
          </w:p>
        </w:tc>
      </w:tr>
      <w:tr w:rsidR="00D63FED" w:rsidRPr="00817DAF" w:rsidTr="003A359A">
        <w:tc>
          <w:tcPr>
            <w:tcW w:w="0" w:type="auto"/>
            <w:shd w:val="clear" w:color="auto" w:fill="auto"/>
            <w:vAlign w:val="center"/>
          </w:tcPr>
          <w:p w:rsidR="00D63FED" w:rsidRPr="00817DAF" w:rsidRDefault="00D63FED" w:rsidP="003A359A">
            <w:pPr>
              <w:jc w:val="center"/>
              <w:rPr>
                <w:b/>
                <w:bCs/>
                <w:sz w:val="20"/>
                <w:szCs w:val="20"/>
              </w:rPr>
            </w:pPr>
            <w:r w:rsidRPr="00817DAF">
              <w:rPr>
                <w:b/>
                <w:bCs/>
                <w:sz w:val="20"/>
                <w:szCs w:val="20"/>
              </w:rPr>
              <w:t>D</w:t>
            </w:r>
          </w:p>
        </w:tc>
        <w:tc>
          <w:tcPr>
            <w:tcW w:w="2695" w:type="dxa"/>
            <w:shd w:val="clear" w:color="auto" w:fill="auto"/>
            <w:vAlign w:val="center"/>
          </w:tcPr>
          <w:p w:rsidR="00D63FED" w:rsidRPr="00817DAF" w:rsidRDefault="00D63FED" w:rsidP="003A359A">
            <w:pPr>
              <w:jc w:val="center"/>
              <w:rPr>
                <w:sz w:val="20"/>
                <w:szCs w:val="20"/>
              </w:rPr>
            </w:pPr>
            <w:r w:rsidRPr="00817DAF">
              <w:rPr>
                <w:sz w:val="20"/>
                <w:szCs w:val="20"/>
              </w:rPr>
              <w:t>72 ton.</w:t>
            </w:r>
          </w:p>
        </w:tc>
        <w:tc>
          <w:tcPr>
            <w:tcW w:w="9072" w:type="dxa"/>
            <w:shd w:val="clear" w:color="auto" w:fill="auto"/>
            <w:vAlign w:val="center"/>
          </w:tcPr>
          <w:p w:rsidR="00D63FED" w:rsidRPr="00817DAF" w:rsidRDefault="00D63FED" w:rsidP="003A359A">
            <w:pPr>
              <w:jc w:val="both"/>
              <w:rPr>
                <w:sz w:val="20"/>
                <w:szCs w:val="20"/>
              </w:rPr>
            </w:pPr>
            <w:r w:rsidRPr="00817DAF">
              <w:rPr>
                <w:sz w:val="20"/>
                <w:szCs w:val="20"/>
              </w:rPr>
              <w:t>Mezzi d’opera, macchine operatrici eccezionali, complessi veicolari per il trasporto di macchine operatrici e veicoli ad uso speciale, di massa complessiva fino a 72 tonnellate</w:t>
            </w:r>
          </w:p>
        </w:tc>
        <w:tc>
          <w:tcPr>
            <w:tcW w:w="3686" w:type="dxa"/>
            <w:shd w:val="clear" w:color="auto" w:fill="auto"/>
            <w:vAlign w:val="center"/>
          </w:tcPr>
          <w:p w:rsidR="00D63FED" w:rsidRPr="00817DAF" w:rsidRDefault="00D63FED" w:rsidP="003A359A">
            <w:pPr>
              <w:jc w:val="center"/>
              <w:rPr>
                <w:sz w:val="20"/>
                <w:szCs w:val="20"/>
              </w:rPr>
            </w:pPr>
          </w:p>
        </w:tc>
      </w:tr>
      <w:tr w:rsidR="00D63FED" w:rsidRPr="00817DAF" w:rsidTr="003A359A">
        <w:tc>
          <w:tcPr>
            <w:tcW w:w="0" w:type="auto"/>
            <w:shd w:val="clear" w:color="auto" w:fill="D6E6F4"/>
            <w:vAlign w:val="center"/>
          </w:tcPr>
          <w:p w:rsidR="00D63FED" w:rsidRPr="00817DAF" w:rsidRDefault="00D63FED" w:rsidP="003A359A">
            <w:pPr>
              <w:jc w:val="center"/>
              <w:rPr>
                <w:b/>
                <w:bCs/>
                <w:sz w:val="20"/>
                <w:szCs w:val="20"/>
              </w:rPr>
            </w:pPr>
            <w:r w:rsidRPr="00817DAF">
              <w:rPr>
                <w:b/>
                <w:bCs/>
                <w:sz w:val="20"/>
                <w:szCs w:val="20"/>
              </w:rPr>
              <w:t>E</w:t>
            </w:r>
          </w:p>
        </w:tc>
        <w:tc>
          <w:tcPr>
            <w:tcW w:w="2695" w:type="dxa"/>
            <w:tcBorders>
              <w:left w:val="nil"/>
              <w:right w:val="nil"/>
            </w:tcBorders>
            <w:shd w:val="clear" w:color="auto" w:fill="D6E6F4"/>
            <w:vAlign w:val="center"/>
          </w:tcPr>
          <w:p w:rsidR="00D63FED" w:rsidRPr="00817DAF" w:rsidRDefault="00D63FED" w:rsidP="003A359A">
            <w:pPr>
              <w:jc w:val="center"/>
              <w:rPr>
                <w:sz w:val="20"/>
                <w:szCs w:val="20"/>
              </w:rPr>
            </w:pPr>
            <w:r w:rsidRPr="00817DAF">
              <w:rPr>
                <w:sz w:val="20"/>
                <w:szCs w:val="20"/>
              </w:rPr>
              <w:t>108 ton.</w:t>
            </w:r>
          </w:p>
        </w:tc>
        <w:tc>
          <w:tcPr>
            <w:tcW w:w="9072" w:type="dxa"/>
            <w:shd w:val="clear" w:color="auto" w:fill="D6E6F4"/>
            <w:vAlign w:val="center"/>
          </w:tcPr>
          <w:p w:rsidR="00D63FED" w:rsidRPr="00817DAF" w:rsidRDefault="00D63FED" w:rsidP="003A359A">
            <w:pPr>
              <w:jc w:val="both"/>
              <w:rPr>
                <w:sz w:val="20"/>
                <w:szCs w:val="20"/>
              </w:rPr>
            </w:pPr>
            <w:r w:rsidRPr="00817DAF">
              <w:rPr>
                <w:sz w:val="20"/>
                <w:szCs w:val="20"/>
              </w:rPr>
              <w:t>Macchine operatrici eccezionali, veicoli ad uso speciale, di massa complessiva fino a 108 tonnellate, con limiti di carico per asse di 13 tonnellate</w:t>
            </w:r>
          </w:p>
        </w:tc>
        <w:tc>
          <w:tcPr>
            <w:tcW w:w="3686" w:type="dxa"/>
            <w:tcBorders>
              <w:left w:val="nil"/>
              <w:right w:val="nil"/>
            </w:tcBorders>
            <w:shd w:val="clear" w:color="auto" w:fill="D6E6F4"/>
            <w:vAlign w:val="center"/>
          </w:tcPr>
          <w:p w:rsidR="00D63FED" w:rsidRPr="00817DAF" w:rsidRDefault="00D63FED" w:rsidP="003A359A">
            <w:pPr>
              <w:jc w:val="center"/>
              <w:rPr>
                <w:sz w:val="20"/>
                <w:szCs w:val="20"/>
              </w:rPr>
            </w:pPr>
          </w:p>
        </w:tc>
      </w:tr>
      <w:tr w:rsidR="00D63FED" w:rsidRPr="00817DAF" w:rsidTr="003A359A">
        <w:tc>
          <w:tcPr>
            <w:tcW w:w="0" w:type="auto"/>
            <w:shd w:val="clear" w:color="auto" w:fill="auto"/>
            <w:vAlign w:val="center"/>
          </w:tcPr>
          <w:p w:rsidR="00D63FED" w:rsidRPr="00817DAF" w:rsidRDefault="00D63FED" w:rsidP="003A359A">
            <w:pPr>
              <w:jc w:val="center"/>
              <w:rPr>
                <w:b/>
                <w:bCs/>
                <w:sz w:val="20"/>
                <w:szCs w:val="20"/>
              </w:rPr>
            </w:pPr>
            <w:r w:rsidRPr="00817DAF">
              <w:rPr>
                <w:b/>
                <w:bCs/>
                <w:sz w:val="20"/>
                <w:szCs w:val="20"/>
              </w:rPr>
              <w:t>F</w:t>
            </w:r>
          </w:p>
        </w:tc>
        <w:tc>
          <w:tcPr>
            <w:tcW w:w="2695" w:type="dxa"/>
            <w:shd w:val="clear" w:color="auto" w:fill="auto"/>
            <w:vAlign w:val="center"/>
          </w:tcPr>
          <w:p w:rsidR="00D63FED" w:rsidRPr="00817DAF" w:rsidRDefault="00D63FED" w:rsidP="003A359A">
            <w:pPr>
              <w:jc w:val="center"/>
              <w:rPr>
                <w:sz w:val="20"/>
                <w:szCs w:val="20"/>
              </w:rPr>
            </w:pPr>
            <w:r w:rsidRPr="00817DAF">
              <w:rPr>
                <w:sz w:val="20"/>
                <w:szCs w:val="20"/>
              </w:rPr>
              <w:t>Pali</w:t>
            </w:r>
          </w:p>
        </w:tc>
        <w:tc>
          <w:tcPr>
            <w:tcW w:w="9072" w:type="dxa"/>
            <w:shd w:val="clear" w:color="auto" w:fill="auto"/>
            <w:vAlign w:val="center"/>
          </w:tcPr>
          <w:p w:rsidR="00D63FED" w:rsidRPr="00817DAF" w:rsidRDefault="00D63FED" w:rsidP="003A359A">
            <w:pPr>
              <w:jc w:val="both"/>
              <w:rPr>
                <w:sz w:val="20"/>
                <w:szCs w:val="20"/>
              </w:rPr>
            </w:pPr>
            <w:r w:rsidRPr="00817DAF">
              <w:rPr>
                <w:sz w:val="20"/>
                <w:szCs w:val="20"/>
              </w:rPr>
              <w:t>Veicoli per il trasporto dei pali per linee elettriche, telefoniche e di pubblica illuminazione</w:t>
            </w:r>
          </w:p>
        </w:tc>
        <w:tc>
          <w:tcPr>
            <w:tcW w:w="3686" w:type="dxa"/>
            <w:shd w:val="clear" w:color="auto" w:fill="auto"/>
            <w:vAlign w:val="center"/>
          </w:tcPr>
          <w:p w:rsidR="00D63FED" w:rsidRPr="00817DAF" w:rsidRDefault="00D63FED" w:rsidP="003A359A">
            <w:pPr>
              <w:jc w:val="center"/>
              <w:rPr>
                <w:sz w:val="20"/>
                <w:szCs w:val="20"/>
              </w:rPr>
            </w:pPr>
          </w:p>
        </w:tc>
      </w:tr>
      <w:tr w:rsidR="00D63FED" w:rsidRPr="00817DAF" w:rsidTr="003A359A">
        <w:tc>
          <w:tcPr>
            <w:tcW w:w="0" w:type="auto"/>
            <w:shd w:val="clear" w:color="auto" w:fill="D6E6F4"/>
            <w:vAlign w:val="center"/>
          </w:tcPr>
          <w:p w:rsidR="00D63FED" w:rsidRPr="00817DAF" w:rsidRDefault="00D63FED" w:rsidP="003A359A">
            <w:pPr>
              <w:jc w:val="center"/>
              <w:rPr>
                <w:b/>
                <w:bCs/>
                <w:sz w:val="20"/>
                <w:szCs w:val="20"/>
              </w:rPr>
            </w:pPr>
            <w:r w:rsidRPr="00817DAF">
              <w:rPr>
                <w:b/>
                <w:bCs/>
                <w:sz w:val="20"/>
                <w:szCs w:val="20"/>
              </w:rPr>
              <w:t>G</w:t>
            </w:r>
          </w:p>
        </w:tc>
        <w:tc>
          <w:tcPr>
            <w:tcW w:w="2695" w:type="dxa"/>
            <w:tcBorders>
              <w:left w:val="nil"/>
              <w:right w:val="nil"/>
            </w:tcBorders>
            <w:shd w:val="clear" w:color="auto" w:fill="D6E6F4"/>
            <w:vAlign w:val="center"/>
          </w:tcPr>
          <w:p w:rsidR="00D63FED" w:rsidRPr="00817DAF" w:rsidRDefault="00D63FED" w:rsidP="003A359A">
            <w:pPr>
              <w:jc w:val="center"/>
              <w:rPr>
                <w:sz w:val="20"/>
                <w:szCs w:val="20"/>
              </w:rPr>
            </w:pPr>
            <w:r w:rsidRPr="00817DAF">
              <w:rPr>
                <w:sz w:val="20"/>
                <w:szCs w:val="20"/>
              </w:rPr>
              <w:t>Carri</w:t>
            </w:r>
          </w:p>
        </w:tc>
        <w:tc>
          <w:tcPr>
            <w:tcW w:w="9072" w:type="dxa"/>
            <w:shd w:val="clear" w:color="auto" w:fill="D6E6F4"/>
            <w:vAlign w:val="center"/>
          </w:tcPr>
          <w:p w:rsidR="00D63FED" w:rsidRPr="00817DAF" w:rsidRDefault="00D63FED" w:rsidP="003A359A">
            <w:pPr>
              <w:jc w:val="both"/>
              <w:rPr>
                <w:sz w:val="20"/>
                <w:szCs w:val="20"/>
              </w:rPr>
            </w:pPr>
            <w:r w:rsidRPr="00817DAF">
              <w:rPr>
                <w:sz w:val="20"/>
                <w:szCs w:val="20"/>
              </w:rPr>
              <w:t>Veicoli per il trasporto di carri ferroviari di massa complessiva fino a 108 tonnellate, con limiti di carico per asse di 13 tonnellate</w:t>
            </w:r>
          </w:p>
        </w:tc>
        <w:tc>
          <w:tcPr>
            <w:tcW w:w="3686" w:type="dxa"/>
            <w:tcBorders>
              <w:left w:val="nil"/>
              <w:right w:val="nil"/>
            </w:tcBorders>
            <w:shd w:val="clear" w:color="auto" w:fill="D6E6F4"/>
            <w:vAlign w:val="center"/>
          </w:tcPr>
          <w:p w:rsidR="00D63FED" w:rsidRPr="00817DAF" w:rsidRDefault="00D63FED" w:rsidP="003A359A">
            <w:pPr>
              <w:jc w:val="center"/>
              <w:rPr>
                <w:sz w:val="20"/>
                <w:szCs w:val="20"/>
              </w:rPr>
            </w:pPr>
          </w:p>
        </w:tc>
      </w:tr>
      <w:tr w:rsidR="00D63FED" w:rsidRPr="00817DAF" w:rsidTr="003A359A">
        <w:tc>
          <w:tcPr>
            <w:tcW w:w="0" w:type="auto"/>
            <w:shd w:val="clear" w:color="auto" w:fill="auto"/>
            <w:vAlign w:val="center"/>
          </w:tcPr>
          <w:p w:rsidR="00D63FED" w:rsidRPr="00817DAF" w:rsidRDefault="00D63FED" w:rsidP="003A359A">
            <w:pPr>
              <w:jc w:val="center"/>
              <w:rPr>
                <w:b/>
                <w:bCs/>
                <w:sz w:val="20"/>
                <w:szCs w:val="20"/>
              </w:rPr>
            </w:pPr>
            <w:r w:rsidRPr="00817DAF">
              <w:rPr>
                <w:b/>
                <w:bCs/>
                <w:sz w:val="20"/>
                <w:szCs w:val="20"/>
              </w:rPr>
              <w:t>H</w:t>
            </w:r>
          </w:p>
        </w:tc>
        <w:tc>
          <w:tcPr>
            <w:tcW w:w="2695" w:type="dxa"/>
            <w:shd w:val="clear" w:color="auto" w:fill="auto"/>
            <w:vAlign w:val="center"/>
          </w:tcPr>
          <w:p w:rsidR="00D63FED" w:rsidRPr="00817DAF" w:rsidRDefault="00D63FED" w:rsidP="003A359A">
            <w:pPr>
              <w:jc w:val="center"/>
              <w:rPr>
                <w:sz w:val="20"/>
                <w:szCs w:val="20"/>
              </w:rPr>
            </w:pPr>
            <w:r w:rsidRPr="00817DAF">
              <w:rPr>
                <w:sz w:val="20"/>
                <w:szCs w:val="20"/>
              </w:rPr>
              <w:t>Coils</w:t>
            </w:r>
          </w:p>
        </w:tc>
        <w:tc>
          <w:tcPr>
            <w:tcW w:w="9072" w:type="dxa"/>
            <w:shd w:val="clear" w:color="auto" w:fill="auto"/>
            <w:vAlign w:val="center"/>
          </w:tcPr>
          <w:p w:rsidR="00D63FED" w:rsidRPr="00817DAF" w:rsidRDefault="00D63FED" w:rsidP="003A359A">
            <w:pPr>
              <w:jc w:val="both"/>
              <w:rPr>
                <w:sz w:val="20"/>
                <w:szCs w:val="20"/>
              </w:rPr>
            </w:pPr>
            <w:r w:rsidRPr="00817DAF">
              <w:rPr>
                <w:sz w:val="20"/>
                <w:szCs w:val="20"/>
              </w:rPr>
              <w:t>Veicoli per il trasporto di coils, laminati grezzi e blocchi di pietra naturale, di massa complessiva fino a 108 tonnellate, con limiti di carico per asse di 13 tonnellate</w:t>
            </w:r>
          </w:p>
        </w:tc>
        <w:tc>
          <w:tcPr>
            <w:tcW w:w="3686" w:type="dxa"/>
            <w:shd w:val="clear" w:color="auto" w:fill="auto"/>
            <w:vAlign w:val="center"/>
          </w:tcPr>
          <w:p w:rsidR="00D63FED" w:rsidRPr="00817DAF" w:rsidRDefault="00D63FED" w:rsidP="003A359A">
            <w:pPr>
              <w:jc w:val="center"/>
              <w:rPr>
                <w:sz w:val="20"/>
                <w:szCs w:val="20"/>
              </w:rPr>
            </w:pPr>
          </w:p>
        </w:tc>
      </w:tr>
      <w:tr w:rsidR="00D63FED" w:rsidRPr="00817DAF" w:rsidTr="003A359A">
        <w:tc>
          <w:tcPr>
            <w:tcW w:w="0" w:type="auto"/>
            <w:shd w:val="clear" w:color="auto" w:fill="D6E6F4"/>
            <w:vAlign w:val="center"/>
          </w:tcPr>
          <w:p w:rsidR="00D63FED" w:rsidRPr="00817DAF" w:rsidRDefault="00D63FED" w:rsidP="003A359A">
            <w:pPr>
              <w:jc w:val="center"/>
              <w:rPr>
                <w:b/>
                <w:bCs/>
                <w:sz w:val="20"/>
                <w:szCs w:val="20"/>
              </w:rPr>
            </w:pPr>
            <w:r w:rsidRPr="00817DAF">
              <w:rPr>
                <w:b/>
                <w:bCs/>
                <w:sz w:val="20"/>
                <w:szCs w:val="20"/>
              </w:rPr>
              <w:t>I</w:t>
            </w:r>
          </w:p>
        </w:tc>
        <w:tc>
          <w:tcPr>
            <w:tcW w:w="2695" w:type="dxa"/>
            <w:tcBorders>
              <w:left w:val="nil"/>
              <w:right w:val="nil"/>
            </w:tcBorders>
            <w:shd w:val="clear" w:color="auto" w:fill="D6E6F4"/>
            <w:vAlign w:val="center"/>
          </w:tcPr>
          <w:p w:rsidR="00D63FED" w:rsidRPr="00817DAF" w:rsidRDefault="00D63FED" w:rsidP="003A359A">
            <w:pPr>
              <w:jc w:val="center"/>
              <w:rPr>
                <w:sz w:val="20"/>
                <w:szCs w:val="20"/>
              </w:rPr>
            </w:pPr>
            <w:proofErr w:type="spellStart"/>
            <w:r w:rsidRPr="00817DAF">
              <w:rPr>
                <w:sz w:val="20"/>
                <w:szCs w:val="20"/>
              </w:rPr>
              <w:t>Pre</w:t>
            </w:r>
            <w:proofErr w:type="spellEnd"/>
            <w:r w:rsidRPr="00817DAF">
              <w:rPr>
                <w:sz w:val="20"/>
                <w:szCs w:val="20"/>
              </w:rPr>
              <w:t xml:space="preserve"> 25 × 75</w:t>
            </w:r>
          </w:p>
        </w:tc>
        <w:tc>
          <w:tcPr>
            <w:tcW w:w="9072" w:type="dxa"/>
            <w:shd w:val="clear" w:color="auto" w:fill="D6E6F4"/>
            <w:vAlign w:val="center"/>
          </w:tcPr>
          <w:p w:rsidR="00D63FED" w:rsidRPr="00817DAF" w:rsidRDefault="00D63FED" w:rsidP="003A359A">
            <w:pPr>
              <w:jc w:val="both"/>
              <w:rPr>
                <w:sz w:val="20"/>
                <w:szCs w:val="20"/>
              </w:rPr>
            </w:pPr>
            <w:r w:rsidRPr="00817DAF">
              <w:rPr>
                <w:sz w:val="20"/>
                <w:szCs w:val="20"/>
              </w:rPr>
              <w:t>Complessi veicolari per il trasporto di elementi prefabbricati compositi e apparecchiature industriali complesse per l’edilizia, con lunghezza fino a 25,00 metri e massa complessiva fino a 75 tonnellate</w:t>
            </w:r>
          </w:p>
        </w:tc>
        <w:tc>
          <w:tcPr>
            <w:tcW w:w="3686" w:type="dxa"/>
            <w:tcBorders>
              <w:left w:val="nil"/>
              <w:right w:val="nil"/>
            </w:tcBorders>
            <w:shd w:val="clear" w:color="auto" w:fill="D6E6F4"/>
            <w:vAlign w:val="center"/>
          </w:tcPr>
          <w:p w:rsidR="00D63FED" w:rsidRPr="00817DAF" w:rsidRDefault="00D63FED" w:rsidP="003A359A">
            <w:pPr>
              <w:jc w:val="center"/>
              <w:rPr>
                <w:sz w:val="20"/>
                <w:szCs w:val="20"/>
              </w:rPr>
            </w:pPr>
          </w:p>
        </w:tc>
      </w:tr>
      <w:tr w:rsidR="00D63FED" w:rsidRPr="00817DAF" w:rsidTr="003A359A">
        <w:tc>
          <w:tcPr>
            <w:tcW w:w="0" w:type="auto"/>
            <w:shd w:val="clear" w:color="auto" w:fill="auto"/>
            <w:vAlign w:val="center"/>
          </w:tcPr>
          <w:p w:rsidR="00D63FED" w:rsidRPr="00817DAF" w:rsidRDefault="00D63FED" w:rsidP="003A359A">
            <w:pPr>
              <w:jc w:val="center"/>
              <w:rPr>
                <w:b/>
                <w:bCs/>
                <w:sz w:val="20"/>
                <w:szCs w:val="20"/>
              </w:rPr>
            </w:pPr>
            <w:r w:rsidRPr="00817DAF">
              <w:rPr>
                <w:b/>
                <w:bCs/>
                <w:sz w:val="20"/>
                <w:szCs w:val="20"/>
              </w:rPr>
              <w:t>J</w:t>
            </w:r>
          </w:p>
        </w:tc>
        <w:tc>
          <w:tcPr>
            <w:tcW w:w="2695" w:type="dxa"/>
            <w:shd w:val="clear" w:color="auto" w:fill="auto"/>
            <w:vAlign w:val="center"/>
          </w:tcPr>
          <w:p w:rsidR="00D63FED" w:rsidRPr="00817DAF" w:rsidRDefault="00D63FED" w:rsidP="003A359A">
            <w:pPr>
              <w:jc w:val="center"/>
              <w:rPr>
                <w:sz w:val="20"/>
                <w:szCs w:val="20"/>
              </w:rPr>
            </w:pPr>
            <w:proofErr w:type="spellStart"/>
            <w:r w:rsidRPr="00817DAF">
              <w:rPr>
                <w:sz w:val="20"/>
                <w:szCs w:val="20"/>
              </w:rPr>
              <w:t>Pre</w:t>
            </w:r>
            <w:proofErr w:type="spellEnd"/>
            <w:r w:rsidRPr="00817DAF">
              <w:rPr>
                <w:sz w:val="20"/>
                <w:szCs w:val="20"/>
              </w:rPr>
              <w:t xml:space="preserve"> 25 × 108</w:t>
            </w:r>
          </w:p>
        </w:tc>
        <w:tc>
          <w:tcPr>
            <w:tcW w:w="9072" w:type="dxa"/>
            <w:shd w:val="clear" w:color="auto" w:fill="auto"/>
            <w:vAlign w:val="center"/>
          </w:tcPr>
          <w:p w:rsidR="00D63FED" w:rsidRPr="00817DAF" w:rsidRDefault="00D63FED" w:rsidP="003A359A">
            <w:pPr>
              <w:jc w:val="both"/>
              <w:rPr>
                <w:sz w:val="20"/>
                <w:szCs w:val="20"/>
              </w:rPr>
            </w:pPr>
            <w:r w:rsidRPr="00817DAF">
              <w:rPr>
                <w:sz w:val="20"/>
                <w:szCs w:val="20"/>
              </w:rPr>
              <w:t>Complessi veicolari per il trasporto di elementi prefabbricati compositi e apparecchiature industriali complesse per l’edilizia, con lunghezza fino a 25,00 metri e massa complessiva fino a 108 tonnellate</w:t>
            </w:r>
          </w:p>
        </w:tc>
        <w:tc>
          <w:tcPr>
            <w:tcW w:w="3686" w:type="dxa"/>
            <w:shd w:val="clear" w:color="auto" w:fill="auto"/>
            <w:vAlign w:val="center"/>
          </w:tcPr>
          <w:p w:rsidR="00D63FED" w:rsidRPr="00817DAF" w:rsidRDefault="00D63FED" w:rsidP="003A359A">
            <w:pPr>
              <w:jc w:val="center"/>
              <w:rPr>
                <w:sz w:val="20"/>
                <w:szCs w:val="20"/>
              </w:rPr>
            </w:pPr>
          </w:p>
        </w:tc>
      </w:tr>
      <w:tr w:rsidR="00D63FED" w:rsidRPr="00817DAF" w:rsidTr="003A359A">
        <w:tc>
          <w:tcPr>
            <w:tcW w:w="0" w:type="auto"/>
            <w:shd w:val="clear" w:color="auto" w:fill="D6E6F4"/>
            <w:vAlign w:val="center"/>
          </w:tcPr>
          <w:p w:rsidR="00D63FED" w:rsidRPr="00817DAF" w:rsidRDefault="00D63FED" w:rsidP="003A359A">
            <w:pPr>
              <w:jc w:val="center"/>
              <w:rPr>
                <w:b/>
                <w:bCs/>
                <w:sz w:val="20"/>
                <w:szCs w:val="20"/>
              </w:rPr>
            </w:pPr>
            <w:r w:rsidRPr="00817DAF">
              <w:rPr>
                <w:b/>
                <w:bCs/>
                <w:sz w:val="20"/>
                <w:szCs w:val="20"/>
              </w:rPr>
              <w:t>K</w:t>
            </w:r>
          </w:p>
        </w:tc>
        <w:tc>
          <w:tcPr>
            <w:tcW w:w="2695" w:type="dxa"/>
            <w:tcBorders>
              <w:left w:val="nil"/>
              <w:right w:val="nil"/>
            </w:tcBorders>
            <w:shd w:val="clear" w:color="auto" w:fill="D6E6F4"/>
            <w:vAlign w:val="center"/>
          </w:tcPr>
          <w:p w:rsidR="00D63FED" w:rsidRPr="00817DAF" w:rsidRDefault="00D63FED" w:rsidP="003A359A">
            <w:pPr>
              <w:jc w:val="center"/>
              <w:rPr>
                <w:sz w:val="20"/>
                <w:szCs w:val="20"/>
              </w:rPr>
            </w:pPr>
            <w:proofErr w:type="spellStart"/>
            <w:r w:rsidRPr="00817DAF">
              <w:rPr>
                <w:sz w:val="20"/>
                <w:szCs w:val="20"/>
              </w:rPr>
              <w:t>Pre</w:t>
            </w:r>
            <w:proofErr w:type="spellEnd"/>
            <w:r w:rsidRPr="00817DAF">
              <w:rPr>
                <w:sz w:val="20"/>
                <w:szCs w:val="20"/>
              </w:rPr>
              <w:t xml:space="preserve"> 35 × 108</w:t>
            </w:r>
          </w:p>
        </w:tc>
        <w:tc>
          <w:tcPr>
            <w:tcW w:w="9072" w:type="dxa"/>
            <w:shd w:val="clear" w:color="auto" w:fill="D6E6F4"/>
            <w:vAlign w:val="center"/>
          </w:tcPr>
          <w:p w:rsidR="00D63FED" w:rsidRPr="00817DAF" w:rsidRDefault="00D63FED" w:rsidP="003A359A">
            <w:pPr>
              <w:jc w:val="both"/>
              <w:rPr>
                <w:sz w:val="20"/>
                <w:szCs w:val="20"/>
              </w:rPr>
            </w:pPr>
            <w:r w:rsidRPr="00817DAF">
              <w:rPr>
                <w:sz w:val="20"/>
                <w:szCs w:val="20"/>
              </w:rPr>
              <w:t>Complessi veicolari per il trasporto di elementi prefabbricati compositi e apparecchiature industriali complesse per l’edilizia, con lunghezza fino a 35,00 metri e massa complessiva fino a 108 tonnellate</w:t>
            </w:r>
          </w:p>
        </w:tc>
        <w:tc>
          <w:tcPr>
            <w:tcW w:w="3686" w:type="dxa"/>
            <w:tcBorders>
              <w:left w:val="nil"/>
              <w:right w:val="nil"/>
            </w:tcBorders>
            <w:shd w:val="clear" w:color="auto" w:fill="D6E6F4"/>
            <w:vAlign w:val="center"/>
          </w:tcPr>
          <w:p w:rsidR="00D63FED" w:rsidRPr="00817DAF" w:rsidRDefault="00D63FED" w:rsidP="003A359A">
            <w:pPr>
              <w:jc w:val="center"/>
              <w:rPr>
                <w:sz w:val="20"/>
                <w:szCs w:val="20"/>
              </w:rPr>
            </w:pPr>
          </w:p>
        </w:tc>
      </w:tr>
      <w:tr w:rsidR="00D63FED" w:rsidRPr="00817DAF" w:rsidTr="003A359A">
        <w:tc>
          <w:tcPr>
            <w:tcW w:w="0" w:type="auto"/>
            <w:shd w:val="clear" w:color="auto" w:fill="auto"/>
            <w:vAlign w:val="center"/>
          </w:tcPr>
          <w:p w:rsidR="00D63FED" w:rsidRPr="00817DAF" w:rsidRDefault="00D63FED" w:rsidP="003A359A">
            <w:pPr>
              <w:jc w:val="center"/>
              <w:rPr>
                <w:b/>
                <w:bCs/>
                <w:sz w:val="20"/>
                <w:szCs w:val="20"/>
              </w:rPr>
            </w:pPr>
            <w:r w:rsidRPr="00817DAF">
              <w:rPr>
                <w:b/>
                <w:bCs/>
                <w:sz w:val="20"/>
                <w:szCs w:val="20"/>
              </w:rPr>
              <w:t>L</w:t>
            </w:r>
          </w:p>
        </w:tc>
        <w:tc>
          <w:tcPr>
            <w:tcW w:w="2695" w:type="dxa"/>
            <w:shd w:val="clear" w:color="auto" w:fill="auto"/>
            <w:vAlign w:val="center"/>
          </w:tcPr>
          <w:p w:rsidR="00D63FED" w:rsidRPr="00817DAF" w:rsidRDefault="00D63FED" w:rsidP="003A359A">
            <w:pPr>
              <w:jc w:val="center"/>
              <w:rPr>
                <w:sz w:val="20"/>
                <w:szCs w:val="20"/>
              </w:rPr>
            </w:pPr>
            <w:r w:rsidRPr="00817DAF">
              <w:rPr>
                <w:sz w:val="20"/>
                <w:szCs w:val="20"/>
              </w:rPr>
              <w:t>Macchine agricole eccezionali</w:t>
            </w:r>
          </w:p>
        </w:tc>
        <w:tc>
          <w:tcPr>
            <w:tcW w:w="9072" w:type="dxa"/>
            <w:shd w:val="clear" w:color="auto" w:fill="auto"/>
            <w:vAlign w:val="center"/>
          </w:tcPr>
          <w:p w:rsidR="00D63FED" w:rsidRPr="00817DAF" w:rsidRDefault="00D63FED" w:rsidP="003A359A">
            <w:pPr>
              <w:jc w:val="both"/>
              <w:rPr>
                <w:sz w:val="20"/>
                <w:szCs w:val="20"/>
              </w:rPr>
            </w:pPr>
          </w:p>
        </w:tc>
        <w:tc>
          <w:tcPr>
            <w:tcW w:w="3686" w:type="dxa"/>
            <w:shd w:val="clear" w:color="auto" w:fill="auto"/>
            <w:vAlign w:val="center"/>
          </w:tcPr>
          <w:p w:rsidR="00D63FED" w:rsidRPr="00817DAF" w:rsidRDefault="006C7B8A" w:rsidP="00F37ADD">
            <w:pPr>
              <w:jc w:val="center"/>
              <w:rPr>
                <w:sz w:val="20"/>
                <w:szCs w:val="20"/>
              </w:rPr>
            </w:pPr>
            <w:r>
              <w:rPr>
                <w:sz w:val="20"/>
                <w:szCs w:val="20"/>
              </w:rPr>
              <w:t xml:space="preserve">Via cascina Malmetuda, Via cascina Malpensata, Via cascina Molino Cagni, Piazza Europa, Via Crema, Via Dante, Via dei Novelli, Via Franzoni, Via Mattei Enrico, Via Mulino Rosso, Via Roma, Via Rubbiano, Via San Rocco, Via Sezione Numero 1, Via Tomella, Via Zanelli, Via cascina Morti, Piazza Rovereto, </w:t>
            </w:r>
            <w:r w:rsidR="00F37ADD">
              <w:rPr>
                <w:sz w:val="20"/>
                <w:szCs w:val="20"/>
              </w:rPr>
              <w:t>Via</w:t>
            </w:r>
            <w:r>
              <w:rPr>
                <w:sz w:val="20"/>
                <w:szCs w:val="20"/>
              </w:rPr>
              <w:t xml:space="preserve"> al </w:t>
            </w:r>
            <w:r>
              <w:rPr>
                <w:sz w:val="20"/>
                <w:szCs w:val="20"/>
              </w:rPr>
              <w:lastRenderedPageBreak/>
              <w:t xml:space="preserve">Molino, </w:t>
            </w:r>
            <w:r w:rsidR="00F37ADD">
              <w:rPr>
                <w:sz w:val="20"/>
                <w:szCs w:val="20"/>
              </w:rPr>
              <w:t>Via</w:t>
            </w:r>
            <w:r>
              <w:rPr>
                <w:sz w:val="20"/>
                <w:szCs w:val="20"/>
              </w:rPr>
              <w:t xml:space="preserve"> al Mulino, </w:t>
            </w:r>
            <w:r w:rsidR="00F37ADD">
              <w:rPr>
                <w:sz w:val="20"/>
                <w:szCs w:val="20"/>
              </w:rPr>
              <w:t>Via</w:t>
            </w:r>
            <w:r>
              <w:rPr>
                <w:sz w:val="20"/>
                <w:szCs w:val="20"/>
              </w:rPr>
              <w:t xml:space="preserve"> </w:t>
            </w:r>
            <w:proofErr w:type="spellStart"/>
            <w:r>
              <w:rPr>
                <w:sz w:val="20"/>
                <w:szCs w:val="20"/>
              </w:rPr>
              <w:t>Bodrio</w:t>
            </w:r>
            <w:proofErr w:type="spellEnd"/>
            <w:r>
              <w:rPr>
                <w:sz w:val="20"/>
                <w:szCs w:val="20"/>
              </w:rPr>
              <w:t xml:space="preserve">, </w:t>
            </w:r>
            <w:r w:rsidR="00F37ADD">
              <w:rPr>
                <w:sz w:val="20"/>
                <w:szCs w:val="20"/>
              </w:rPr>
              <w:t>Via</w:t>
            </w:r>
            <w:r>
              <w:rPr>
                <w:sz w:val="20"/>
                <w:szCs w:val="20"/>
              </w:rPr>
              <w:t xml:space="preserve"> Dosso di Sera, </w:t>
            </w:r>
            <w:r w:rsidR="00F37ADD">
              <w:rPr>
                <w:sz w:val="20"/>
                <w:szCs w:val="20"/>
              </w:rPr>
              <w:t>Via</w:t>
            </w:r>
            <w:r>
              <w:rPr>
                <w:sz w:val="20"/>
                <w:szCs w:val="20"/>
              </w:rPr>
              <w:t xml:space="preserve"> Dosso Mattina, </w:t>
            </w:r>
            <w:r w:rsidR="00F37ADD">
              <w:rPr>
                <w:sz w:val="20"/>
                <w:szCs w:val="20"/>
              </w:rPr>
              <w:t>Via</w:t>
            </w:r>
            <w:r>
              <w:rPr>
                <w:sz w:val="20"/>
                <w:szCs w:val="20"/>
              </w:rPr>
              <w:t xml:space="preserve"> Foscolo, </w:t>
            </w:r>
            <w:r w:rsidR="00F37ADD">
              <w:rPr>
                <w:sz w:val="20"/>
                <w:szCs w:val="20"/>
              </w:rPr>
              <w:t>Via</w:t>
            </w:r>
            <w:r>
              <w:rPr>
                <w:sz w:val="20"/>
                <w:szCs w:val="20"/>
              </w:rPr>
              <w:t xml:space="preserve"> Maggiore, </w:t>
            </w:r>
            <w:r w:rsidR="00F37ADD">
              <w:rPr>
                <w:sz w:val="20"/>
                <w:szCs w:val="20"/>
              </w:rPr>
              <w:t>Via</w:t>
            </w:r>
            <w:r>
              <w:rPr>
                <w:sz w:val="20"/>
                <w:szCs w:val="20"/>
              </w:rPr>
              <w:t xml:space="preserve"> Manzoni, </w:t>
            </w:r>
            <w:r w:rsidR="00F37ADD">
              <w:rPr>
                <w:sz w:val="20"/>
                <w:szCs w:val="20"/>
              </w:rPr>
              <w:t>Via</w:t>
            </w:r>
            <w:r>
              <w:rPr>
                <w:sz w:val="20"/>
                <w:szCs w:val="20"/>
              </w:rPr>
              <w:t xml:space="preserve"> Moscazzano, </w:t>
            </w:r>
            <w:r w:rsidR="00F37ADD">
              <w:rPr>
                <w:sz w:val="20"/>
                <w:szCs w:val="20"/>
              </w:rPr>
              <w:t>Via</w:t>
            </w:r>
            <w:r>
              <w:rPr>
                <w:sz w:val="20"/>
                <w:szCs w:val="20"/>
              </w:rPr>
              <w:t xml:space="preserve"> Passarera, </w:t>
            </w:r>
            <w:r w:rsidR="00F37ADD">
              <w:rPr>
                <w:sz w:val="20"/>
                <w:szCs w:val="20"/>
              </w:rPr>
              <w:t>Via</w:t>
            </w:r>
            <w:r>
              <w:rPr>
                <w:sz w:val="20"/>
                <w:szCs w:val="20"/>
              </w:rPr>
              <w:t xml:space="preserve"> Regona, </w:t>
            </w:r>
            <w:r w:rsidR="00F37ADD">
              <w:rPr>
                <w:sz w:val="20"/>
                <w:szCs w:val="20"/>
              </w:rPr>
              <w:t>Via</w:t>
            </w:r>
            <w:r>
              <w:rPr>
                <w:sz w:val="20"/>
                <w:szCs w:val="20"/>
              </w:rPr>
              <w:t xml:space="preserve"> Sezione Numero </w:t>
            </w:r>
            <w:r w:rsidR="00F37ADD">
              <w:rPr>
                <w:sz w:val="20"/>
                <w:szCs w:val="20"/>
              </w:rPr>
              <w:t>2, Via Vagni, Vicolo Consorziale Malpensata, Vicolo Rossetti</w:t>
            </w:r>
            <w:r>
              <w:rPr>
                <w:sz w:val="20"/>
                <w:szCs w:val="20"/>
              </w:rPr>
              <w:t xml:space="preserve">  </w:t>
            </w:r>
          </w:p>
        </w:tc>
      </w:tr>
    </w:tbl>
    <w:p w:rsidR="00D63FED" w:rsidRDefault="00D63FED" w:rsidP="00D63FED">
      <w:pPr>
        <w:rPr>
          <w:sz w:val="20"/>
          <w:szCs w:val="20"/>
        </w:rPr>
      </w:pPr>
    </w:p>
    <w:p w:rsidR="00D63FED" w:rsidRDefault="00D63FED" w:rsidP="00D63FED">
      <w:pPr>
        <w:jc w:val="both"/>
        <w:rPr>
          <w:sz w:val="20"/>
          <w:szCs w:val="20"/>
        </w:rPr>
      </w:pPr>
      <w:r w:rsidRPr="00960ED5">
        <w:rPr>
          <w:sz w:val="20"/>
          <w:szCs w:val="20"/>
        </w:rPr>
        <w:t xml:space="preserve">È consentito il transito su tutte le strade comunali alle macchine agricole </w:t>
      </w:r>
      <w:r w:rsidRPr="00937BFC">
        <w:rPr>
          <w:i/>
          <w:sz w:val="20"/>
          <w:szCs w:val="20"/>
        </w:rPr>
        <w:t>(artt. 57 e 104 del Nuovo Codice della Strada)</w:t>
      </w:r>
      <w:r w:rsidRPr="00960ED5">
        <w:rPr>
          <w:sz w:val="20"/>
          <w:szCs w:val="20"/>
        </w:rPr>
        <w:t xml:space="preserve">, ai mezzi d’opera </w:t>
      </w:r>
      <w:r w:rsidRPr="00937BFC">
        <w:rPr>
          <w:i/>
          <w:sz w:val="20"/>
          <w:szCs w:val="20"/>
        </w:rPr>
        <w:t>(art. 54 comma 1 lettera n del Nuovo Codice della Strada)</w:t>
      </w:r>
      <w:r w:rsidRPr="00960ED5">
        <w:rPr>
          <w:sz w:val="20"/>
          <w:szCs w:val="20"/>
        </w:rPr>
        <w:t xml:space="preserve"> e alle macchine operatrici </w:t>
      </w:r>
      <w:r w:rsidRPr="00937BFC">
        <w:rPr>
          <w:i/>
          <w:sz w:val="20"/>
          <w:szCs w:val="20"/>
        </w:rPr>
        <w:t>(artt. 58 e 114 del Nuovo Codice della Strada)</w:t>
      </w:r>
      <w:r w:rsidRPr="00960ED5">
        <w:rPr>
          <w:sz w:val="20"/>
          <w:szCs w:val="20"/>
        </w:rPr>
        <w:t xml:space="preserve"> per le attività di carico e scarico delle aziende/società aventi sede</w:t>
      </w:r>
      <w:r>
        <w:rPr>
          <w:sz w:val="20"/>
          <w:szCs w:val="20"/>
        </w:rPr>
        <w:t xml:space="preserve"> nel Comune o</w:t>
      </w:r>
      <w:r w:rsidRPr="00960ED5">
        <w:rPr>
          <w:sz w:val="20"/>
          <w:szCs w:val="20"/>
        </w:rPr>
        <w:t>, anche in diverso Comune, lungo le S.P. n. 25 e 45.</w:t>
      </w:r>
      <w:r>
        <w:rPr>
          <w:sz w:val="20"/>
          <w:szCs w:val="20"/>
        </w:rPr>
        <w:t xml:space="preserve"> </w:t>
      </w:r>
    </w:p>
    <w:p w:rsidR="00D63FED" w:rsidRPr="00960ED5" w:rsidRDefault="00D63FED" w:rsidP="00D63FED">
      <w:pPr>
        <w:jc w:val="both"/>
        <w:rPr>
          <w:sz w:val="20"/>
          <w:szCs w:val="20"/>
        </w:rPr>
      </w:pPr>
      <w:r w:rsidRPr="00937BFC">
        <w:rPr>
          <w:sz w:val="20"/>
          <w:szCs w:val="20"/>
        </w:rPr>
        <w:t>Per quanto riguarda l</w:t>
      </w:r>
      <w:r>
        <w:rPr>
          <w:sz w:val="20"/>
          <w:szCs w:val="20"/>
        </w:rPr>
        <w:t>e</w:t>
      </w:r>
      <w:r w:rsidRPr="00937BFC">
        <w:rPr>
          <w:sz w:val="20"/>
          <w:szCs w:val="20"/>
        </w:rPr>
        <w:t xml:space="preserve"> strade di competenza sovracomunale che attraversano il territorio del </w:t>
      </w:r>
      <w:r>
        <w:rPr>
          <w:sz w:val="20"/>
          <w:szCs w:val="20"/>
        </w:rPr>
        <w:t>C</w:t>
      </w:r>
      <w:r w:rsidRPr="00937BFC">
        <w:rPr>
          <w:sz w:val="20"/>
          <w:szCs w:val="20"/>
        </w:rPr>
        <w:t xml:space="preserve">omune di </w:t>
      </w:r>
      <w:r>
        <w:rPr>
          <w:sz w:val="20"/>
          <w:szCs w:val="20"/>
        </w:rPr>
        <w:t>Cumignano sul Naviglio –</w:t>
      </w:r>
      <w:r w:rsidRPr="00937BFC">
        <w:rPr>
          <w:sz w:val="20"/>
          <w:szCs w:val="20"/>
        </w:rPr>
        <w:t xml:space="preserve"> S</w:t>
      </w:r>
      <w:r>
        <w:rPr>
          <w:sz w:val="20"/>
          <w:szCs w:val="20"/>
        </w:rPr>
        <w:t>.</w:t>
      </w:r>
      <w:r w:rsidRPr="00937BFC">
        <w:rPr>
          <w:sz w:val="20"/>
          <w:szCs w:val="20"/>
        </w:rPr>
        <w:t>P</w:t>
      </w:r>
      <w:r>
        <w:rPr>
          <w:sz w:val="20"/>
          <w:szCs w:val="20"/>
        </w:rPr>
        <w:t>.</w:t>
      </w:r>
      <w:r w:rsidRPr="00937BFC">
        <w:rPr>
          <w:sz w:val="20"/>
          <w:szCs w:val="20"/>
        </w:rPr>
        <w:t xml:space="preserve"> </w:t>
      </w:r>
      <w:r>
        <w:rPr>
          <w:sz w:val="20"/>
          <w:szCs w:val="20"/>
        </w:rPr>
        <w:t xml:space="preserve">5 S.P., 169 e </w:t>
      </w:r>
      <w:r w:rsidRPr="00937BFC">
        <w:rPr>
          <w:sz w:val="20"/>
          <w:szCs w:val="20"/>
        </w:rPr>
        <w:t>S</w:t>
      </w:r>
      <w:r>
        <w:rPr>
          <w:sz w:val="20"/>
          <w:szCs w:val="20"/>
        </w:rPr>
        <w:t>.</w:t>
      </w:r>
      <w:r w:rsidRPr="00937BFC">
        <w:rPr>
          <w:sz w:val="20"/>
          <w:szCs w:val="20"/>
        </w:rPr>
        <w:t>P</w:t>
      </w:r>
      <w:r>
        <w:rPr>
          <w:sz w:val="20"/>
          <w:szCs w:val="20"/>
        </w:rPr>
        <w:t>.</w:t>
      </w:r>
      <w:r w:rsidRPr="00937BFC">
        <w:rPr>
          <w:sz w:val="20"/>
          <w:szCs w:val="20"/>
        </w:rPr>
        <w:t xml:space="preserve"> </w:t>
      </w:r>
      <w:r>
        <w:rPr>
          <w:sz w:val="20"/>
          <w:szCs w:val="20"/>
        </w:rPr>
        <w:t xml:space="preserve">43 </w:t>
      </w:r>
      <w:proofErr w:type="gramStart"/>
      <w:r>
        <w:rPr>
          <w:sz w:val="20"/>
          <w:szCs w:val="20"/>
        </w:rPr>
        <w:t xml:space="preserve">– </w:t>
      </w:r>
      <w:r w:rsidRPr="00937BFC">
        <w:rPr>
          <w:sz w:val="20"/>
          <w:szCs w:val="20"/>
        </w:rPr>
        <w:t>,</w:t>
      </w:r>
      <w:proofErr w:type="gramEnd"/>
      <w:r w:rsidRPr="00937BFC">
        <w:rPr>
          <w:sz w:val="20"/>
          <w:szCs w:val="20"/>
        </w:rPr>
        <w:t xml:space="preserve"> si rimanda alle determinazioni in merito della Provincia di Cremona.</w:t>
      </w:r>
    </w:p>
    <w:p w:rsidR="000B3EBC" w:rsidRPr="00D2378B" w:rsidRDefault="000B3EBC" w:rsidP="000B3EBC">
      <w:pPr>
        <w:pStyle w:val="Nessunaspaziatura"/>
        <w:rPr>
          <w:rFonts w:ascii="Times New Roman" w:hAnsi="Times New Roman"/>
          <w:sz w:val="24"/>
          <w:szCs w:val="24"/>
        </w:rPr>
      </w:pPr>
    </w:p>
    <w:sectPr w:rsidR="000B3EBC" w:rsidRPr="00D2378B" w:rsidSect="00D63FED">
      <w:headerReference w:type="default" r:id="rId6"/>
      <w:footerReference w:type="default" r:id="rId7"/>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2A5" w:rsidRDefault="002462A5" w:rsidP="00CC2909">
      <w:r>
        <w:separator/>
      </w:r>
    </w:p>
  </w:endnote>
  <w:endnote w:type="continuationSeparator" w:id="0">
    <w:p w:rsidR="002462A5" w:rsidRDefault="002462A5" w:rsidP="00CC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909" w:rsidRPr="00954CA2" w:rsidRDefault="00CC2909" w:rsidP="00CC2909">
    <w:pPr>
      <w:pStyle w:val="Pidipagina"/>
      <w:jc w:val="center"/>
      <w:rPr>
        <w:rFonts w:ascii="Script MT Bold" w:hAnsi="Script MT Bold"/>
        <w:b/>
        <w:sz w:val="16"/>
        <w:szCs w:val="16"/>
      </w:rPr>
    </w:pPr>
    <w:r w:rsidRPr="00CC2909">
      <w:rPr>
        <w:rFonts w:ascii="Script MT Bold" w:hAnsi="Script MT Bold"/>
        <w:b/>
        <w:sz w:val="16"/>
        <w:szCs w:val="16"/>
      </w:rPr>
      <w:t xml:space="preserve">Residenza Municipale Credera Rubbiano – </w:t>
    </w:r>
    <w:bookmarkStart w:id="0" w:name="_GoBack"/>
    <w:r w:rsidRPr="00CC2909">
      <w:rPr>
        <w:rFonts w:ascii="Script MT Bold" w:hAnsi="Script MT Bold"/>
        <w:b/>
        <w:sz w:val="16"/>
        <w:szCs w:val="16"/>
      </w:rPr>
      <w:t>Via</w:t>
    </w:r>
    <w:bookmarkEnd w:id="0"/>
    <w:r w:rsidRPr="00CC2909">
      <w:rPr>
        <w:rFonts w:ascii="Script MT Bold" w:hAnsi="Script MT Bold"/>
        <w:b/>
        <w:sz w:val="16"/>
        <w:szCs w:val="16"/>
      </w:rPr>
      <w:t xml:space="preserve"> Roma, 28 – tel. 0373.61913 fax 0373.61060 </w:t>
    </w:r>
    <w:r w:rsidR="00954CA2">
      <w:rPr>
        <w:rFonts w:ascii="Script MT Bold" w:hAnsi="Script MT Bold"/>
        <w:b/>
        <w:sz w:val="16"/>
        <w:szCs w:val="16"/>
      </w:rPr>
      <w:t>–</w:t>
    </w:r>
    <w:proofErr w:type="gramStart"/>
    <w:r w:rsidR="00954CA2" w:rsidRPr="00954CA2">
      <w:rPr>
        <w:rFonts w:ascii="Script MT Bold" w:hAnsi="Script MT Bold"/>
        <w:b/>
        <w:sz w:val="16"/>
        <w:szCs w:val="16"/>
      </w:rPr>
      <w:t>Sito</w:t>
    </w:r>
    <w:r w:rsidR="00954CA2">
      <w:rPr>
        <w:rFonts w:ascii="Script MT Bold" w:hAnsi="Script MT Bold"/>
        <w:b/>
        <w:sz w:val="16"/>
        <w:szCs w:val="16"/>
      </w:rPr>
      <w:t xml:space="preserve"> </w:t>
    </w:r>
    <w:r w:rsidR="00954CA2" w:rsidRPr="00954CA2">
      <w:rPr>
        <w:rFonts w:ascii="Script MT Bold" w:hAnsi="Script MT Bold"/>
        <w:b/>
        <w:sz w:val="16"/>
        <w:szCs w:val="16"/>
      </w:rPr>
      <w:t xml:space="preserve"> web</w:t>
    </w:r>
    <w:proofErr w:type="gramEnd"/>
    <w:r w:rsidR="00954CA2" w:rsidRPr="00954CA2">
      <w:rPr>
        <w:rFonts w:ascii="Script MT Bold" w:hAnsi="Script MT Bold"/>
        <w:b/>
        <w:sz w:val="16"/>
        <w:szCs w:val="16"/>
      </w:rPr>
      <w:t>: http://www.comune.crederarubbiano.cr.it</w:t>
    </w:r>
  </w:p>
  <w:p w:rsidR="00CC2909" w:rsidRDefault="00CC2909" w:rsidP="00CC2909">
    <w:pPr>
      <w:pStyle w:val="Pidipagina"/>
      <w:jc w:val="center"/>
      <w:rPr>
        <w:rFonts w:ascii="Script MT Bold" w:hAnsi="Script MT Bold"/>
        <w:b/>
        <w:sz w:val="16"/>
        <w:szCs w:val="16"/>
      </w:rPr>
    </w:pPr>
    <w:r w:rsidRPr="00CC2909">
      <w:rPr>
        <w:rFonts w:ascii="Script MT Bold" w:hAnsi="Script MT Bold"/>
        <w:b/>
        <w:sz w:val="16"/>
        <w:szCs w:val="16"/>
      </w:rPr>
      <w:t xml:space="preserve">E.mail: info@comune.crederarubbiano.cr.it o </w:t>
    </w:r>
    <w:r w:rsidRPr="00CC2909">
      <w:rPr>
        <w:rFonts w:ascii="Script MT Bold" w:hAnsi="Script MT Bold"/>
        <w:sz w:val="16"/>
        <w:szCs w:val="16"/>
      </w:rPr>
      <w:t>comune.crederarubbiano@pec.regione.lombardia.it</w:t>
    </w:r>
    <w:r w:rsidRPr="00CC2909">
      <w:rPr>
        <w:rFonts w:ascii="Script MT Bold" w:hAnsi="Script MT Bold"/>
        <w:b/>
        <w:sz w:val="16"/>
        <w:szCs w:val="16"/>
      </w:rPr>
      <w:t xml:space="preserve"> - P.IVA 00352820195 Codice Fiscale 82007130196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2A5" w:rsidRDefault="002462A5" w:rsidP="00CC2909">
      <w:r>
        <w:separator/>
      </w:r>
    </w:p>
  </w:footnote>
  <w:footnote w:type="continuationSeparator" w:id="0">
    <w:p w:rsidR="002462A5" w:rsidRDefault="002462A5" w:rsidP="00CC2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909" w:rsidRDefault="00707292" w:rsidP="00CC2909">
    <w:pPr>
      <w:pStyle w:val="Intestazione"/>
      <w:jc w:val="center"/>
    </w:pPr>
    <w:r>
      <w:rPr>
        <w:noProof/>
        <w:lang w:eastAsia="it-IT"/>
      </w:rPr>
      <w:drawing>
        <wp:anchor distT="0" distB="0" distL="114300" distR="114300" simplePos="0" relativeHeight="251657728" behindDoc="0" locked="0" layoutInCell="1" allowOverlap="1">
          <wp:simplePos x="0" y="0"/>
          <wp:positionH relativeFrom="column">
            <wp:posOffset>99060</wp:posOffset>
          </wp:positionH>
          <wp:positionV relativeFrom="paragraph">
            <wp:posOffset>7620</wp:posOffset>
          </wp:positionV>
          <wp:extent cx="685800" cy="933450"/>
          <wp:effectExtent l="0" t="0" r="0" b="0"/>
          <wp:wrapSquare wrapText="bothSides"/>
          <wp:docPr id="1" name="Immagine 0" descr="Logo Co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 Comu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909" w:rsidRPr="00CC2909">
      <w:rPr>
        <w:rFonts w:ascii="Palace Script MT" w:hAnsi="Palace Script MT"/>
        <w:b/>
        <w:sz w:val="84"/>
        <w:szCs w:val="84"/>
      </w:rPr>
      <w:t>Comune di Credera Rubbiano</w:t>
    </w:r>
  </w:p>
  <w:p w:rsidR="00CC2909" w:rsidRDefault="00CC2909" w:rsidP="00CC2909">
    <w:pPr>
      <w:pStyle w:val="Intestazione"/>
      <w:spacing w:before="120"/>
      <w:jc w:val="center"/>
      <w:rPr>
        <w:rFonts w:ascii="Kunstler Script" w:hAnsi="Kunstler Script"/>
        <w:b/>
        <w:sz w:val="48"/>
        <w:szCs w:val="48"/>
      </w:rPr>
    </w:pPr>
    <w:r w:rsidRPr="00CC2909">
      <w:rPr>
        <w:rFonts w:ascii="Kunstler Script" w:hAnsi="Kunstler Script"/>
        <w:b/>
        <w:sz w:val="48"/>
        <w:szCs w:val="48"/>
      </w:rPr>
      <w:t>26010 Provincia di Cremona</w:t>
    </w:r>
  </w:p>
  <w:p w:rsidR="00A406E5" w:rsidRPr="00A406E5" w:rsidRDefault="00A406E5" w:rsidP="00CC2909">
    <w:pPr>
      <w:pStyle w:val="Intestazione"/>
      <w:spacing w:before="120"/>
      <w:jc w:val="center"/>
      <w:rPr>
        <w:rFonts w:ascii="Kunstler Script" w:hAnsi="Kunstler Script"/>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FED"/>
    <w:rsid w:val="000B3EBC"/>
    <w:rsid w:val="00112DA9"/>
    <w:rsid w:val="001564B0"/>
    <w:rsid w:val="00204225"/>
    <w:rsid w:val="002462A5"/>
    <w:rsid w:val="002B03A4"/>
    <w:rsid w:val="004A2E2B"/>
    <w:rsid w:val="00531494"/>
    <w:rsid w:val="00584898"/>
    <w:rsid w:val="0066370B"/>
    <w:rsid w:val="006C7B8A"/>
    <w:rsid w:val="00707292"/>
    <w:rsid w:val="00874EEE"/>
    <w:rsid w:val="00954CA2"/>
    <w:rsid w:val="00A10718"/>
    <w:rsid w:val="00A406E5"/>
    <w:rsid w:val="00BA4936"/>
    <w:rsid w:val="00CC2909"/>
    <w:rsid w:val="00D2378B"/>
    <w:rsid w:val="00D47429"/>
    <w:rsid w:val="00D63FED"/>
    <w:rsid w:val="00F37ADD"/>
    <w:rsid w:val="00F90F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4EE4C7-A69B-41C9-833F-511622CC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3FED"/>
    <w:rPr>
      <w:rFonts w:ascii="Times New Roman" w:hAnsi="Times New Roman"/>
      <w:sz w:val="24"/>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909"/>
    <w:pPr>
      <w:tabs>
        <w:tab w:val="center" w:pos="4819"/>
        <w:tab w:val="right" w:pos="9638"/>
      </w:tabs>
    </w:pPr>
  </w:style>
  <w:style w:type="character" w:customStyle="1" w:styleId="IntestazioneCarattere">
    <w:name w:val="Intestazione Carattere"/>
    <w:basedOn w:val="Carpredefinitoparagrafo"/>
    <w:link w:val="Intestazione"/>
    <w:uiPriority w:val="99"/>
    <w:rsid w:val="00CC2909"/>
  </w:style>
  <w:style w:type="paragraph" w:styleId="Pidipagina">
    <w:name w:val="footer"/>
    <w:basedOn w:val="Normale"/>
    <w:link w:val="PidipaginaCarattere"/>
    <w:unhideWhenUsed/>
    <w:rsid w:val="00CC2909"/>
    <w:pPr>
      <w:tabs>
        <w:tab w:val="center" w:pos="4819"/>
        <w:tab w:val="right" w:pos="9638"/>
      </w:tabs>
    </w:pPr>
  </w:style>
  <w:style w:type="character" w:customStyle="1" w:styleId="PidipaginaCarattere">
    <w:name w:val="Piè di pagina Carattere"/>
    <w:basedOn w:val="Carpredefinitoparagrafo"/>
    <w:link w:val="Pidipagina"/>
    <w:rsid w:val="00CC2909"/>
  </w:style>
  <w:style w:type="paragraph" w:styleId="Testofumetto">
    <w:name w:val="Balloon Text"/>
    <w:basedOn w:val="Normale"/>
    <w:link w:val="TestofumettoCarattere"/>
    <w:uiPriority w:val="99"/>
    <w:semiHidden/>
    <w:unhideWhenUsed/>
    <w:rsid w:val="00CC2909"/>
    <w:rPr>
      <w:rFonts w:ascii="Tahoma" w:hAnsi="Tahoma" w:cs="Tahoma"/>
      <w:sz w:val="16"/>
      <w:szCs w:val="16"/>
    </w:rPr>
  </w:style>
  <w:style w:type="character" w:customStyle="1" w:styleId="TestofumettoCarattere">
    <w:name w:val="Testo fumetto Carattere"/>
    <w:link w:val="Testofumetto"/>
    <w:uiPriority w:val="99"/>
    <w:semiHidden/>
    <w:rsid w:val="00CC2909"/>
    <w:rPr>
      <w:rFonts w:ascii="Tahoma" w:hAnsi="Tahoma" w:cs="Tahoma"/>
      <w:sz w:val="16"/>
      <w:szCs w:val="16"/>
    </w:rPr>
  </w:style>
  <w:style w:type="paragraph" w:styleId="Nessunaspaziatura">
    <w:name w:val="No Spacing"/>
    <w:uiPriority w:val="1"/>
    <w:qFormat/>
    <w:rsid w:val="000B3EB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pini\Desktop\Massimiliano%20Torriani\Documenti\Lettera%20standard%20-%20Copi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Lettera standard - Copia</Template>
  <TotalTime>178</TotalTime>
  <Pages>1</Pages>
  <Words>531</Words>
  <Characters>3027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 Arpini</dc:creator>
  <cp:keywords/>
  <dc:description/>
  <cp:lastModifiedBy>Gilberto Arpini</cp:lastModifiedBy>
  <cp:revision>3</cp:revision>
  <dcterms:created xsi:type="dcterms:W3CDTF">2020-02-28T11:39:00Z</dcterms:created>
  <dcterms:modified xsi:type="dcterms:W3CDTF">2020-03-02T08:10:00Z</dcterms:modified>
</cp:coreProperties>
</file>